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6E" w:rsidRPr="004D332F" w:rsidRDefault="00DC0B6E" w:rsidP="00DC0B6E">
      <w:pPr>
        <w:rPr>
          <w:rFonts w:ascii="仿宋_GB2312" w:eastAsia="仿宋_GB2312"/>
          <w:sz w:val="28"/>
          <w:szCs w:val="28"/>
        </w:rPr>
      </w:pPr>
      <w:r w:rsidRPr="004D332F">
        <w:rPr>
          <w:rFonts w:ascii="仿宋_GB2312" w:eastAsia="仿宋_GB2312" w:hint="eastAsia"/>
          <w:sz w:val="28"/>
          <w:szCs w:val="28"/>
        </w:rPr>
        <w:t>附件</w:t>
      </w:r>
      <w:r w:rsidRPr="004D332F">
        <w:rPr>
          <w:rFonts w:ascii="仿宋_GB2312" w:eastAsia="仿宋_GB2312"/>
          <w:sz w:val="28"/>
          <w:szCs w:val="28"/>
        </w:rPr>
        <w:t>1</w:t>
      </w:r>
    </w:p>
    <w:p w:rsidR="00E618C1" w:rsidRDefault="00DC0B6E" w:rsidP="00E618C1">
      <w:pPr>
        <w:widowControl/>
        <w:spacing w:line="700" w:lineRule="exact"/>
        <w:jc w:val="center"/>
        <w:rPr>
          <w:rFonts w:ascii="方正小标宋简体" w:eastAsia="方正小标宋简体" w:hAnsi="Simsun" w:cs="宋体" w:hint="eastAsia"/>
          <w:bCs/>
          <w:color w:val="000000"/>
          <w:kern w:val="0"/>
          <w:sz w:val="44"/>
          <w:szCs w:val="44"/>
        </w:rPr>
      </w:pPr>
      <w:r w:rsidRPr="00E618C1">
        <w:rPr>
          <w:rFonts w:ascii="方正小标宋简体" w:eastAsia="方正小标宋简体" w:hAnsi="Simsun" w:cs="宋体" w:hint="eastAsia"/>
          <w:bCs/>
          <w:color w:val="000000"/>
          <w:kern w:val="0"/>
          <w:sz w:val="44"/>
          <w:szCs w:val="44"/>
        </w:rPr>
        <w:t>2018年湖北省高等学校省级教</w:t>
      </w:r>
      <w:bookmarkStart w:id="0" w:name="_GoBack"/>
      <w:bookmarkEnd w:id="0"/>
      <w:r w:rsidRPr="00E618C1">
        <w:rPr>
          <w:rFonts w:ascii="方正小标宋简体" w:eastAsia="方正小标宋简体" w:hAnsi="Simsun" w:cs="宋体" w:hint="eastAsia"/>
          <w:bCs/>
          <w:color w:val="000000"/>
          <w:kern w:val="0"/>
          <w:sz w:val="44"/>
          <w:szCs w:val="44"/>
        </w:rPr>
        <w:t>学改革研究</w:t>
      </w:r>
    </w:p>
    <w:p w:rsidR="00DC0B6E" w:rsidRPr="00E618C1" w:rsidRDefault="00DC0B6E" w:rsidP="00E618C1">
      <w:pPr>
        <w:widowControl/>
        <w:spacing w:line="700" w:lineRule="exact"/>
        <w:jc w:val="center"/>
        <w:rPr>
          <w:rFonts w:ascii="方正小标宋简体" w:eastAsia="方正小标宋简体" w:hAnsi="Simsun" w:cs="宋体"/>
          <w:bCs/>
          <w:color w:val="000000"/>
          <w:kern w:val="0"/>
          <w:sz w:val="44"/>
          <w:szCs w:val="44"/>
        </w:rPr>
      </w:pPr>
      <w:r w:rsidRPr="00E618C1">
        <w:rPr>
          <w:rFonts w:ascii="方正小标宋简体" w:eastAsia="方正小标宋简体" w:hAnsi="Simsun" w:cs="宋体" w:hint="eastAsia"/>
          <w:bCs/>
          <w:color w:val="000000"/>
          <w:kern w:val="0"/>
          <w:sz w:val="44"/>
          <w:szCs w:val="44"/>
        </w:rPr>
        <w:t>项目指南</w:t>
      </w:r>
    </w:p>
    <w:p w:rsidR="00DC0B6E" w:rsidRPr="004D332F" w:rsidRDefault="00DC0B6E" w:rsidP="00DC0B6E">
      <w:pPr>
        <w:ind w:firstLineChars="200" w:firstLine="550"/>
        <w:rPr>
          <w:rFonts w:ascii="仿宋_GB2312" w:eastAsia="仿宋_GB2312"/>
          <w:sz w:val="28"/>
          <w:szCs w:val="28"/>
        </w:rPr>
      </w:pPr>
    </w:p>
    <w:p w:rsidR="00DC0B6E" w:rsidRPr="00E618C1" w:rsidRDefault="00DC0B6E" w:rsidP="00E618C1">
      <w:pPr>
        <w:widowControl/>
        <w:spacing w:line="560" w:lineRule="exact"/>
        <w:ind w:firstLineChars="200" w:firstLine="630"/>
        <w:rPr>
          <w:rFonts w:ascii="黑体" w:eastAsia="黑体" w:hAnsi="黑体" w:cs="宋体"/>
          <w:bCs/>
          <w:kern w:val="0"/>
          <w:sz w:val="32"/>
          <w:szCs w:val="32"/>
        </w:rPr>
      </w:pPr>
      <w:r w:rsidRPr="00E618C1">
        <w:rPr>
          <w:rFonts w:ascii="黑体" w:eastAsia="黑体" w:hAnsi="黑体" w:cs="宋体" w:hint="eastAsia"/>
          <w:bCs/>
          <w:kern w:val="0"/>
          <w:sz w:val="32"/>
          <w:szCs w:val="32"/>
        </w:rPr>
        <w:t>一、高等教育发展战略研究及综合研究</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t>结合高等教育发展趋势和我省实际，开展湖北高等教育发展战略研究和湖北高等教育竞争力研究；适应湖北省区域经济建设和社会发展需要的高等学校办学思想、办学体制、办学模式、人才培养模式的研究；湖北省高等教育规模、结构、质量、效益协调发展和可持续发展机制的研究与实践；湖北省高等学校分类指导研究；高等学校办学定位与办学特色研究；高等学校创新产学研合作机制研究；高等教育服务湖北地方经济发展研究；现代大学制度研究与探索及高校治理体系和治理能力现代化研究等；高校落实教学中心地位、提高人才培养能力，加快形成高水平人才培养体系的综合研究等。</w:t>
      </w:r>
    </w:p>
    <w:p w:rsidR="00DC0B6E" w:rsidRPr="00E618C1" w:rsidRDefault="00DC0B6E" w:rsidP="00E618C1">
      <w:pPr>
        <w:widowControl/>
        <w:spacing w:line="560" w:lineRule="exact"/>
        <w:ind w:firstLineChars="200" w:firstLine="630"/>
        <w:rPr>
          <w:rFonts w:ascii="黑体" w:eastAsia="黑体" w:hAnsi="黑体" w:cs="宋体"/>
          <w:bCs/>
          <w:kern w:val="0"/>
          <w:sz w:val="32"/>
          <w:szCs w:val="32"/>
        </w:rPr>
      </w:pPr>
      <w:r w:rsidRPr="00E618C1">
        <w:rPr>
          <w:rFonts w:ascii="黑体" w:eastAsia="黑体" w:hAnsi="黑体" w:cs="宋体" w:hint="eastAsia"/>
          <w:bCs/>
          <w:kern w:val="0"/>
          <w:sz w:val="32"/>
          <w:szCs w:val="32"/>
        </w:rPr>
        <w:t>二、人才培养模式改革与创新研究</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t>高校关于复合型、创新型、应用型、技能型人才培养体系研究；高校实践教学模式及运行机制创新研究；校企、校院（所）协同育人机制研究及产学研用合作培养人才研究与实践，校企合作产教融合研究如实践教学体系改革、实践教学基地建设、高校教师与行业企业、实务部门专家互聘和联合编写教材、教学案例等；各类拔尖创新型、卓越人才培养模式改革与创新研</w:t>
      </w:r>
      <w:r w:rsidRPr="00E618C1">
        <w:rPr>
          <w:rFonts w:ascii="仿宋_GB2312" w:eastAsia="仿宋_GB2312" w:hAnsi="Simsun" w:cs="宋体" w:hint="eastAsia"/>
          <w:bCs/>
          <w:kern w:val="0"/>
          <w:sz w:val="32"/>
          <w:szCs w:val="32"/>
        </w:rPr>
        <w:lastRenderedPageBreak/>
        <w:t>究；国际视野及国际化人才培养模式的研究与实践；“</w:t>
      </w:r>
      <w:r w:rsidRPr="00E618C1">
        <w:rPr>
          <w:rFonts w:ascii="仿宋_GB2312" w:eastAsia="仿宋_GB2312" w:hAnsi="Simsun" w:cs="宋体"/>
          <w:bCs/>
          <w:kern w:val="0"/>
          <w:sz w:val="32"/>
          <w:szCs w:val="32"/>
        </w:rPr>
        <w:t>3+2</w:t>
      </w:r>
      <w:r w:rsidRPr="00E618C1">
        <w:rPr>
          <w:rFonts w:ascii="仿宋_GB2312" w:eastAsia="仿宋_GB2312" w:hAnsi="Simsun" w:cs="宋体" w:hint="eastAsia"/>
          <w:bCs/>
          <w:kern w:val="0"/>
          <w:sz w:val="32"/>
          <w:szCs w:val="32"/>
        </w:rPr>
        <w:t>”本科与高职联合培养模式研究；高校通识教育教学内容与体系建设研究、素质教育研究；基于学生自主学习能力培养和个性化教学的人才培养模式研究与实践等。重点支持各试点学院和试点单位在改革项目上的教学研究。</w:t>
      </w:r>
    </w:p>
    <w:p w:rsidR="00DC0B6E" w:rsidRPr="00E618C1" w:rsidRDefault="00DC0B6E" w:rsidP="00E618C1">
      <w:pPr>
        <w:widowControl/>
        <w:spacing w:line="560" w:lineRule="exact"/>
        <w:ind w:firstLineChars="200" w:firstLine="630"/>
        <w:rPr>
          <w:rFonts w:ascii="黑体" w:eastAsia="黑体" w:hAnsi="黑体" w:cs="宋体"/>
          <w:bCs/>
          <w:kern w:val="0"/>
          <w:sz w:val="32"/>
          <w:szCs w:val="32"/>
        </w:rPr>
      </w:pPr>
      <w:r w:rsidRPr="00E618C1">
        <w:rPr>
          <w:rFonts w:ascii="黑体" w:eastAsia="黑体" w:hAnsi="黑体" w:cs="宋体" w:hint="eastAsia"/>
          <w:bCs/>
          <w:kern w:val="0"/>
          <w:sz w:val="32"/>
          <w:szCs w:val="32"/>
        </w:rPr>
        <w:t>三、新工科的理论与实践研究</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t>新工科建设背景下工程教育的改革新理念、学科专业的新结构、人才培养的新模式、教育教学的新质量、分类培养的新体系等；高校关于新经济背景下面向未来产业发展需求，推动现有工科的交叉复合、工科与其他学科的交叉融合的探索与实践研究；面向新经济和区域经济发展需要、面向未来的新兴工科专业研究与探索及传统工科专业更新、迭代和升级研究；多学科交叉复合的新兴工科专业建设；多学科交叉融合的工程人才培养模式探索与实践；新工科建设进展、实施情况和实践案例研究等；工科专业认证研究与实践等。</w:t>
      </w:r>
    </w:p>
    <w:p w:rsidR="00DC0B6E" w:rsidRPr="00E618C1" w:rsidRDefault="00DC0B6E" w:rsidP="00E618C1">
      <w:pPr>
        <w:widowControl/>
        <w:spacing w:line="560" w:lineRule="exact"/>
        <w:ind w:firstLineChars="200" w:firstLine="630"/>
        <w:rPr>
          <w:rFonts w:ascii="黑体" w:eastAsia="黑体" w:hAnsi="黑体" w:cs="宋体"/>
          <w:bCs/>
          <w:kern w:val="0"/>
          <w:sz w:val="32"/>
          <w:szCs w:val="32"/>
        </w:rPr>
      </w:pPr>
      <w:r w:rsidRPr="00E618C1">
        <w:rPr>
          <w:rFonts w:ascii="黑体" w:eastAsia="黑体" w:hAnsi="黑体" w:cs="宋体" w:hint="eastAsia"/>
          <w:bCs/>
          <w:kern w:val="0"/>
          <w:sz w:val="32"/>
          <w:szCs w:val="32"/>
        </w:rPr>
        <w:t>四、专业与课程体系建设和改革</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t>一流本科专业建设研究，内容主要包括一流专业的建设、各类卓越拔尖创新人才培养计划的实践等；国内外大学本科专业建设特色比较研究；高等学校专业群建设研究、品牌特色专业建设及紧缺专业和新办专业建设研究；适应湖北区域经济社会发展要求的优势、特色专业建设与改革研究；高校专业设置、调整、优化、管理、评估和评价机制的研究与实践，人才培养</w:t>
      </w:r>
      <w:r w:rsidRPr="00E618C1">
        <w:rPr>
          <w:rFonts w:ascii="仿宋_GB2312" w:eastAsia="仿宋_GB2312" w:hAnsi="Simsun" w:cs="宋体" w:hint="eastAsia"/>
          <w:bCs/>
          <w:kern w:val="0"/>
          <w:sz w:val="32"/>
          <w:szCs w:val="32"/>
        </w:rPr>
        <w:lastRenderedPageBreak/>
        <w:t>与产业需求对接的监测预警机制研究；符合湖北、区域、行业发展需要的专业结构优化研究与实践；面向湖北工业、产业集群发展需要的专业建设研究与实践等。</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t>系列课程、教材建设研究。包括创新课程体系建设研究、精品线上与线下课程建设与应用的理论研究与实践、区域高校课程联盟运作体系研究与实践、高校双语课程建设及双语教学改革的研究；国内外优质课程教学资源共享研究，慕课、</w:t>
      </w:r>
      <w:proofErr w:type="gramStart"/>
      <w:r w:rsidRPr="00E618C1">
        <w:rPr>
          <w:rFonts w:ascii="仿宋_GB2312" w:eastAsia="仿宋_GB2312" w:hAnsi="Simsun" w:cs="宋体" w:hint="eastAsia"/>
          <w:bCs/>
          <w:kern w:val="0"/>
          <w:sz w:val="32"/>
          <w:szCs w:val="32"/>
        </w:rPr>
        <w:t>微课建设</w:t>
      </w:r>
      <w:proofErr w:type="gramEnd"/>
      <w:r w:rsidRPr="00E618C1">
        <w:rPr>
          <w:rFonts w:ascii="仿宋_GB2312" w:eastAsia="仿宋_GB2312" w:hAnsi="Simsun" w:cs="宋体" w:hint="eastAsia"/>
          <w:bCs/>
          <w:kern w:val="0"/>
          <w:sz w:val="32"/>
          <w:szCs w:val="32"/>
        </w:rPr>
        <w:t>与应用研究；高校课程的准入、建设、评价与淘汰机制研究；产学合作新课程的开发和新教材建设，立体化教材建设等；马克思主义理论教育的强化、教材建设与“马工程”教材的使用研究等。</w:t>
      </w:r>
    </w:p>
    <w:p w:rsidR="00DC0B6E" w:rsidRPr="00E618C1" w:rsidRDefault="00DC0B6E" w:rsidP="00E618C1">
      <w:pPr>
        <w:widowControl/>
        <w:spacing w:line="560" w:lineRule="exact"/>
        <w:ind w:firstLineChars="200" w:firstLine="630"/>
        <w:rPr>
          <w:rFonts w:ascii="黑体" w:eastAsia="黑体" w:hAnsi="黑体" w:cs="宋体"/>
          <w:bCs/>
          <w:kern w:val="0"/>
          <w:sz w:val="32"/>
          <w:szCs w:val="32"/>
        </w:rPr>
      </w:pPr>
      <w:r w:rsidRPr="00E618C1">
        <w:rPr>
          <w:rFonts w:ascii="黑体" w:eastAsia="黑体" w:hAnsi="黑体" w:cs="宋体" w:hint="eastAsia"/>
          <w:bCs/>
          <w:kern w:val="0"/>
          <w:sz w:val="32"/>
          <w:szCs w:val="32"/>
        </w:rPr>
        <w:t>五、教师队伍建设与教师教学能力提升</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t>教学团队建设与优秀教学团队形成机制研究；高校教师教学能力、实践能力提升方式与途径研究；高校教师发展中心建设与中青年教师培训研究与实践；完善教授为本科生授课的机制研究与实践；高校教风与学风建设；科学合理的高校教师教学能力评价办法探索与实践；高校教师教学激励机制研究；高层次人才引进和管理机制、名师培养、“双师”结构教师队伍建设、“楚天技能名师”教学岗位建设与管理研究等。</w:t>
      </w:r>
    </w:p>
    <w:p w:rsidR="00DC0B6E" w:rsidRPr="00E618C1" w:rsidRDefault="00DC0B6E" w:rsidP="00E618C1">
      <w:pPr>
        <w:widowControl/>
        <w:spacing w:line="560" w:lineRule="exact"/>
        <w:ind w:firstLineChars="200" w:firstLine="630"/>
        <w:rPr>
          <w:rFonts w:ascii="黑体" w:eastAsia="黑体" w:hAnsi="黑体" w:cs="宋体"/>
          <w:bCs/>
          <w:kern w:val="0"/>
          <w:sz w:val="32"/>
          <w:szCs w:val="32"/>
        </w:rPr>
      </w:pPr>
      <w:r w:rsidRPr="00E618C1">
        <w:rPr>
          <w:rFonts w:ascii="黑体" w:eastAsia="黑体" w:hAnsi="黑体" w:cs="宋体" w:hint="eastAsia"/>
          <w:bCs/>
          <w:kern w:val="0"/>
          <w:sz w:val="32"/>
          <w:szCs w:val="32"/>
        </w:rPr>
        <w:t>六、教学内容更新与教学方法改革</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t>基于创新人才培养的教学内容更新研究、高校课堂教学模式创新研究、基于能力培养的高校课堂教学手段与方法改革研</w:t>
      </w:r>
      <w:r w:rsidRPr="00E618C1">
        <w:rPr>
          <w:rFonts w:ascii="仿宋_GB2312" w:eastAsia="仿宋_GB2312" w:hAnsi="Simsun" w:cs="宋体" w:hint="eastAsia"/>
          <w:bCs/>
          <w:kern w:val="0"/>
          <w:sz w:val="32"/>
          <w:szCs w:val="32"/>
        </w:rPr>
        <w:lastRenderedPageBreak/>
        <w:t>究、互联网背景下的通识教育研究、高等学校教学资源库和试题库建设与应用、与职业（行业）标准相衔接的课程与教学内容体系探索、高校课程体系整体优化与教学内容改革的研究与实践、高校案例式、启发式、探究式等教学方法的探索与实践、公共基础课教学改革研究、基于移动互联网络环境的学习模式研究等。</w:t>
      </w:r>
    </w:p>
    <w:p w:rsidR="00DC0B6E" w:rsidRPr="00E618C1" w:rsidRDefault="00DC0B6E" w:rsidP="00E618C1">
      <w:pPr>
        <w:widowControl/>
        <w:spacing w:line="560" w:lineRule="exact"/>
        <w:ind w:firstLineChars="200" w:firstLine="630"/>
        <w:rPr>
          <w:rFonts w:ascii="黑体" w:eastAsia="黑体" w:hAnsi="黑体" w:cs="宋体"/>
          <w:bCs/>
          <w:kern w:val="0"/>
          <w:sz w:val="32"/>
          <w:szCs w:val="32"/>
        </w:rPr>
      </w:pPr>
      <w:r w:rsidRPr="00E618C1">
        <w:rPr>
          <w:rFonts w:ascii="黑体" w:eastAsia="黑体" w:hAnsi="黑体" w:cs="宋体" w:hint="eastAsia"/>
          <w:bCs/>
          <w:kern w:val="0"/>
          <w:sz w:val="32"/>
          <w:szCs w:val="32"/>
        </w:rPr>
        <w:t>七、实践教学改革与大学生创新能力培养</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t>实验教学改革，实践教学体系和运行模式建设与研究；实践课教师队伍建设；实践教育基地建设模式的研究与实践；实验教学示范中心、虚拟仿真实验中心、工程训练中心、实习实训基地的建设、管理与运行机制研究；大学生实践能力培养、毕业实习、毕业设计（论文）等各实践教学环节的建设与管理研究；大学生创新创业教育与就业、创业能力研究；创新创业教育课程体系建设、创新创业实践平台建设、创新创业教育实践、创新创业教育管理改革等；大学生科技创新竞赛活动组织管理模式研究；大学生创新活动基地建设和运行管理机制研究；第二课堂与大学生创新能力培养研究等。</w:t>
      </w:r>
    </w:p>
    <w:p w:rsidR="00DC0B6E" w:rsidRPr="00E618C1" w:rsidRDefault="00DC0B6E" w:rsidP="00E618C1">
      <w:pPr>
        <w:widowControl/>
        <w:spacing w:line="560" w:lineRule="exact"/>
        <w:ind w:firstLineChars="200" w:firstLine="630"/>
        <w:rPr>
          <w:rFonts w:ascii="黑体" w:eastAsia="黑体" w:hAnsi="黑体" w:cs="宋体"/>
          <w:bCs/>
          <w:kern w:val="0"/>
          <w:sz w:val="32"/>
          <w:szCs w:val="32"/>
        </w:rPr>
      </w:pPr>
      <w:r w:rsidRPr="00E618C1">
        <w:rPr>
          <w:rFonts w:ascii="黑体" w:eastAsia="黑体" w:hAnsi="黑体" w:cs="宋体" w:hint="eastAsia"/>
          <w:bCs/>
          <w:kern w:val="0"/>
          <w:sz w:val="32"/>
          <w:szCs w:val="32"/>
        </w:rPr>
        <w:t>八、湖北省高校优质教学资源的建设与共享机制研究</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t>包括校际合作、省部高校共建及对口支持协作、区域教学联合体建设、教学资源网络平台建设与优质教学资源共享机制研究与实践。</w:t>
      </w:r>
    </w:p>
    <w:p w:rsidR="00DC0B6E" w:rsidRPr="00E618C1" w:rsidRDefault="00DC0B6E" w:rsidP="00E618C1">
      <w:pPr>
        <w:widowControl/>
        <w:spacing w:line="560" w:lineRule="exact"/>
        <w:ind w:firstLineChars="200" w:firstLine="630"/>
        <w:rPr>
          <w:rFonts w:ascii="黑体" w:eastAsia="黑体" w:hAnsi="黑体" w:cs="宋体"/>
          <w:bCs/>
          <w:kern w:val="0"/>
          <w:sz w:val="32"/>
          <w:szCs w:val="32"/>
        </w:rPr>
      </w:pPr>
      <w:r w:rsidRPr="00E618C1">
        <w:rPr>
          <w:rFonts w:ascii="黑体" w:eastAsia="黑体" w:hAnsi="黑体" w:cs="宋体" w:hint="eastAsia"/>
          <w:bCs/>
          <w:kern w:val="0"/>
          <w:sz w:val="32"/>
          <w:szCs w:val="32"/>
        </w:rPr>
        <w:t>九、高校教学质量管理及保障、监控机制和体系研究</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lastRenderedPageBreak/>
        <w:t>本科专业类教学质量国家标准实施研究与实践；高校严格课堂教学管理与课堂改革方面的研究与实践；专业人才培养评价标准体系构建研究与实践；教学状态和教学质量监测的常态化、信息化研究与实践；高校本科教学工作合格评估和审核评估研究；高校教学质量管理体制、质量监控体系和保障体系的研究；高等学校教学质量标准体系建设；本科人才培养质量评价体系及评价方法研究；高校专业认证、课程评估研究；高校教学督导工作研究；学分制改革研究等。</w:t>
      </w:r>
    </w:p>
    <w:p w:rsidR="00DC0B6E" w:rsidRPr="00E618C1" w:rsidRDefault="00E618C1" w:rsidP="00E618C1">
      <w:pPr>
        <w:widowControl/>
        <w:spacing w:line="560" w:lineRule="exact"/>
        <w:ind w:firstLineChars="200" w:firstLine="630"/>
        <w:rPr>
          <w:rFonts w:ascii="黑体" w:eastAsia="黑体" w:hAnsi="黑体" w:cs="宋体"/>
          <w:bCs/>
          <w:kern w:val="0"/>
          <w:sz w:val="32"/>
          <w:szCs w:val="32"/>
        </w:rPr>
      </w:pPr>
      <w:r w:rsidRPr="00E618C1">
        <w:rPr>
          <w:rFonts w:ascii="黑体" w:eastAsia="黑体" w:hAnsi="黑体" w:cs="宋体" w:hint="eastAsia"/>
          <w:bCs/>
          <w:kern w:val="0"/>
          <w:sz w:val="32"/>
          <w:szCs w:val="32"/>
        </w:rPr>
        <w:t>十、高等教育信息化研究</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t>信息技术与教育教学的深度融合如微课、在线开放课程建设、翻转课堂等方面研究；教学管理数字化、信息化建设研究与实践；教学资源平台建设与管理、现代信息网络技术在教学中的运用、现代远程高等教育教学体系的构建及管理研究。</w:t>
      </w:r>
    </w:p>
    <w:p w:rsidR="00DC0B6E" w:rsidRPr="00E618C1" w:rsidRDefault="00DC0B6E" w:rsidP="00E618C1">
      <w:pPr>
        <w:widowControl/>
        <w:spacing w:line="560" w:lineRule="exact"/>
        <w:ind w:firstLineChars="200" w:firstLine="630"/>
        <w:rPr>
          <w:rFonts w:ascii="黑体" w:eastAsia="黑体" w:hAnsi="黑体" w:cs="宋体"/>
          <w:bCs/>
          <w:kern w:val="0"/>
          <w:sz w:val="32"/>
          <w:szCs w:val="32"/>
        </w:rPr>
      </w:pPr>
      <w:r w:rsidRPr="00E618C1">
        <w:rPr>
          <w:rFonts w:ascii="黑体" w:eastAsia="黑体" w:hAnsi="黑体" w:cs="宋体" w:hint="eastAsia"/>
          <w:bCs/>
          <w:kern w:val="0"/>
          <w:sz w:val="32"/>
          <w:szCs w:val="32"/>
        </w:rPr>
        <w:t>十一、研究生教育教学改革</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t>学位与研究生教育基本理论研究；学位与研究生教育重大改革试点项目研究与实践；研究生教育国际合作现状与发展研究；学术学位与专业学位研究生教育协调发展研究与实践；学科建设与研究生培养及其质量保证研究与实践；学科及学位授权点建设绩效评估研究；研究生分类、分层培养模式改革研究与实践；协同创新、跨学科及联合培养机制研究；研究生课程体系建设研究；专业学位研究生案例教学和案例库建设研究；导师队伍建设及导师队伍遴选、聘任机制研究；研究生教育质</w:t>
      </w:r>
      <w:r w:rsidRPr="00E618C1">
        <w:rPr>
          <w:rFonts w:ascii="仿宋_GB2312" w:eastAsia="仿宋_GB2312" w:hAnsi="Simsun" w:cs="宋体" w:hint="eastAsia"/>
          <w:bCs/>
          <w:kern w:val="0"/>
          <w:sz w:val="32"/>
          <w:szCs w:val="32"/>
        </w:rPr>
        <w:lastRenderedPageBreak/>
        <w:t>量保证体系建设规范、监督体系研究；学风建设与学术规范教育研究等。</w:t>
      </w:r>
    </w:p>
    <w:p w:rsidR="00DC0B6E" w:rsidRPr="00E618C1" w:rsidRDefault="00DC0B6E" w:rsidP="00E618C1">
      <w:pPr>
        <w:widowControl/>
        <w:spacing w:line="560" w:lineRule="exact"/>
        <w:ind w:firstLineChars="200" w:firstLine="630"/>
        <w:rPr>
          <w:rFonts w:ascii="黑体" w:eastAsia="黑体" w:hAnsi="黑体" w:cs="宋体"/>
          <w:bCs/>
          <w:kern w:val="0"/>
          <w:sz w:val="32"/>
          <w:szCs w:val="32"/>
        </w:rPr>
      </w:pPr>
      <w:r w:rsidRPr="00E618C1">
        <w:rPr>
          <w:rFonts w:ascii="黑体" w:eastAsia="黑体" w:hAnsi="黑体" w:cs="宋体" w:hint="eastAsia"/>
          <w:bCs/>
          <w:kern w:val="0"/>
          <w:sz w:val="32"/>
          <w:szCs w:val="32"/>
        </w:rPr>
        <w:t>十二、高职高</w:t>
      </w:r>
      <w:proofErr w:type="gramStart"/>
      <w:r w:rsidRPr="00E618C1">
        <w:rPr>
          <w:rFonts w:ascii="黑体" w:eastAsia="黑体" w:hAnsi="黑体" w:cs="宋体" w:hint="eastAsia"/>
          <w:bCs/>
          <w:kern w:val="0"/>
          <w:sz w:val="32"/>
          <w:szCs w:val="32"/>
        </w:rPr>
        <w:t>专教育</w:t>
      </w:r>
      <w:proofErr w:type="gramEnd"/>
      <w:r w:rsidRPr="00E618C1">
        <w:rPr>
          <w:rFonts w:ascii="黑体" w:eastAsia="黑体" w:hAnsi="黑体" w:cs="宋体" w:hint="eastAsia"/>
          <w:bCs/>
          <w:kern w:val="0"/>
          <w:sz w:val="32"/>
          <w:szCs w:val="32"/>
        </w:rPr>
        <w:t>教学改革</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t>示范性高等职业院校建设的研究与实践；高职高专校企合作办学模式研究；高职高专高端技能型人才培养体系研究；高职高专以工学结合为切入点的人才培养模式改革研究；工作过程系统化课程体系改革研究；“教学做”一体化教学模式改革研究与实践；双师素质</w:t>
      </w:r>
      <w:proofErr w:type="gramStart"/>
      <w:r w:rsidRPr="00E618C1">
        <w:rPr>
          <w:rFonts w:ascii="仿宋_GB2312" w:eastAsia="仿宋_GB2312" w:hAnsi="Simsun" w:cs="宋体" w:hint="eastAsia"/>
          <w:bCs/>
          <w:kern w:val="0"/>
          <w:sz w:val="32"/>
          <w:szCs w:val="32"/>
        </w:rPr>
        <w:t>”</w:t>
      </w:r>
      <w:proofErr w:type="gramEnd"/>
      <w:r w:rsidRPr="00E618C1">
        <w:rPr>
          <w:rFonts w:ascii="仿宋_GB2312" w:eastAsia="仿宋_GB2312" w:hAnsi="Simsun" w:cs="宋体" w:hint="eastAsia"/>
          <w:bCs/>
          <w:kern w:val="0"/>
          <w:sz w:val="32"/>
          <w:szCs w:val="32"/>
        </w:rPr>
        <w:t>与“双师结构”教师队伍建设研究与实践；高职高专生产性实训基地建设的研究与实践；高职高专“双证书”制度推进及职业资格鉴定工作研究与实践；职业教育学生核心能力培养研究；行业企业参与职业教育办学研究；中职和高职教育有效衔接研究；职业教育校企联合办学的实证研究；大学生职业技能大赛组织管理模式研究；高职高</w:t>
      </w:r>
      <w:proofErr w:type="gramStart"/>
      <w:r w:rsidRPr="00E618C1">
        <w:rPr>
          <w:rFonts w:ascii="仿宋_GB2312" w:eastAsia="仿宋_GB2312" w:hAnsi="Simsun" w:cs="宋体" w:hint="eastAsia"/>
          <w:bCs/>
          <w:kern w:val="0"/>
          <w:sz w:val="32"/>
          <w:szCs w:val="32"/>
        </w:rPr>
        <w:t>专专业</w:t>
      </w:r>
      <w:proofErr w:type="gramEnd"/>
      <w:r w:rsidRPr="00E618C1">
        <w:rPr>
          <w:rFonts w:ascii="仿宋_GB2312" w:eastAsia="仿宋_GB2312" w:hAnsi="Simsun" w:cs="宋体" w:hint="eastAsia"/>
          <w:bCs/>
          <w:kern w:val="0"/>
          <w:sz w:val="32"/>
          <w:szCs w:val="32"/>
        </w:rPr>
        <w:t>文化、课程文化建设研究与实践；高职高</w:t>
      </w:r>
      <w:proofErr w:type="gramStart"/>
      <w:r w:rsidRPr="00E618C1">
        <w:rPr>
          <w:rFonts w:ascii="仿宋_GB2312" w:eastAsia="仿宋_GB2312" w:hAnsi="Simsun" w:cs="宋体" w:hint="eastAsia"/>
          <w:bCs/>
          <w:kern w:val="0"/>
          <w:sz w:val="32"/>
          <w:szCs w:val="32"/>
        </w:rPr>
        <w:t>专教学</w:t>
      </w:r>
      <w:proofErr w:type="gramEnd"/>
      <w:r w:rsidRPr="00E618C1">
        <w:rPr>
          <w:rFonts w:ascii="仿宋_GB2312" w:eastAsia="仿宋_GB2312" w:hAnsi="Simsun" w:cs="宋体" w:hint="eastAsia"/>
          <w:bCs/>
          <w:kern w:val="0"/>
          <w:sz w:val="32"/>
          <w:szCs w:val="32"/>
        </w:rPr>
        <w:t>资源库建设研究与实践；高职高专人才培养工作评估研究；高职高专人才培养工作状态数据平台的建设与应用研究等。</w:t>
      </w:r>
    </w:p>
    <w:p w:rsidR="00DC0B6E" w:rsidRPr="00E618C1" w:rsidRDefault="00DC0B6E" w:rsidP="00E618C1">
      <w:pPr>
        <w:widowControl/>
        <w:spacing w:line="560" w:lineRule="exact"/>
        <w:ind w:firstLineChars="200" w:firstLine="630"/>
        <w:rPr>
          <w:rFonts w:ascii="黑体" w:eastAsia="黑体" w:hAnsi="黑体" w:cs="宋体"/>
          <w:bCs/>
          <w:kern w:val="0"/>
          <w:sz w:val="32"/>
          <w:szCs w:val="32"/>
        </w:rPr>
      </w:pPr>
      <w:r w:rsidRPr="00E618C1">
        <w:rPr>
          <w:rFonts w:ascii="黑体" w:eastAsia="黑体" w:hAnsi="黑体" w:cs="宋体" w:hint="eastAsia"/>
          <w:bCs/>
          <w:kern w:val="0"/>
          <w:sz w:val="32"/>
          <w:szCs w:val="32"/>
        </w:rPr>
        <w:t>十三、独立学院、民办高校办学机制、教学管理模式研究</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t>民办高等学校、独立学院的体制和运行机制的研究与实践、教师队伍建设研究与实践、办学模式的研究与实践等。</w:t>
      </w:r>
    </w:p>
    <w:p w:rsidR="00DC0B6E" w:rsidRPr="00E618C1" w:rsidRDefault="00DC0B6E" w:rsidP="00E618C1">
      <w:pPr>
        <w:widowControl/>
        <w:spacing w:line="560" w:lineRule="exact"/>
        <w:ind w:firstLineChars="200" w:firstLine="630"/>
        <w:rPr>
          <w:rFonts w:ascii="黑体" w:eastAsia="黑体" w:hAnsi="黑体" w:cs="宋体"/>
          <w:bCs/>
          <w:kern w:val="0"/>
          <w:sz w:val="32"/>
          <w:szCs w:val="32"/>
        </w:rPr>
      </w:pPr>
      <w:r w:rsidRPr="00E618C1">
        <w:rPr>
          <w:rFonts w:ascii="黑体" w:eastAsia="黑体" w:hAnsi="黑体" w:cs="宋体" w:hint="eastAsia"/>
          <w:bCs/>
          <w:kern w:val="0"/>
          <w:sz w:val="32"/>
          <w:szCs w:val="32"/>
        </w:rPr>
        <w:t>十四、其他</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t>成人高等教育人才培养目标定位、培养模式、质量保障体制机制研究。</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lastRenderedPageBreak/>
        <w:t>高等教育国际合作办学机制和培养模式的理论与实践研究。</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pPr>
      <w:r w:rsidRPr="00E618C1">
        <w:rPr>
          <w:rFonts w:ascii="仿宋_GB2312" w:eastAsia="仿宋_GB2312" w:hAnsi="Simsun" w:cs="宋体" w:hint="eastAsia"/>
          <w:bCs/>
          <w:kern w:val="0"/>
          <w:sz w:val="32"/>
          <w:szCs w:val="32"/>
        </w:rPr>
        <w:t>高等学校教学“质量工程”项目以及教学科研项目及成果的规范化管理和推广应用及示范作用研究。</w:t>
      </w:r>
    </w:p>
    <w:p w:rsidR="00DC0B6E" w:rsidRPr="00E618C1" w:rsidRDefault="00DC0B6E" w:rsidP="00E618C1">
      <w:pPr>
        <w:widowControl/>
        <w:spacing w:line="560" w:lineRule="exact"/>
        <w:ind w:firstLineChars="200" w:firstLine="630"/>
        <w:rPr>
          <w:rFonts w:ascii="仿宋_GB2312" w:eastAsia="仿宋_GB2312" w:hAnsi="Simsun" w:cs="宋体"/>
          <w:bCs/>
          <w:kern w:val="0"/>
          <w:sz w:val="32"/>
          <w:szCs w:val="32"/>
        </w:rPr>
        <w:sectPr w:rsidR="00DC0B6E" w:rsidRPr="00E618C1" w:rsidSect="0067196C">
          <w:footerReference w:type="even" r:id="rId7"/>
          <w:footerReference w:type="default" r:id="rId8"/>
          <w:pgSz w:w="11906" w:h="16838" w:code="9"/>
          <w:pgMar w:top="2155" w:right="1701" w:bottom="1814" w:left="1701" w:header="851" w:footer="992" w:gutter="0"/>
          <w:pgNumType w:fmt="numberInDash"/>
          <w:cols w:space="425"/>
          <w:docGrid w:type="linesAndChars" w:linePitch="612" w:charSpace="-1032"/>
        </w:sectPr>
      </w:pPr>
    </w:p>
    <w:p w:rsidR="00AB33F4" w:rsidRDefault="004B4538"/>
    <w:sectPr w:rsidR="00AB33F4" w:rsidSect="00FB16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538" w:rsidRDefault="004B4538">
      <w:r>
        <w:separator/>
      </w:r>
    </w:p>
  </w:endnote>
  <w:endnote w:type="continuationSeparator" w:id="0">
    <w:p w:rsidR="004B4538" w:rsidRDefault="004B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04" w:rsidRDefault="00DC0B6E" w:rsidP="0067196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06D04" w:rsidRDefault="004B4538" w:rsidP="0067196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04" w:rsidRPr="00BA43EE" w:rsidRDefault="00DC0B6E" w:rsidP="0067196C">
    <w:pPr>
      <w:pStyle w:val="a3"/>
      <w:framePr w:wrap="around" w:vAnchor="text" w:hAnchor="margin" w:xAlign="right" w:y="1"/>
      <w:rPr>
        <w:rStyle w:val="a4"/>
        <w:sz w:val="24"/>
        <w:szCs w:val="24"/>
      </w:rPr>
    </w:pPr>
    <w:r w:rsidRPr="00BA43EE">
      <w:rPr>
        <w:rStyle w:val="a4"/>
        <w:sz w:val="24"/>
        <w:szCs w:val="24"/>
      </w:rPr>
      <w:fldChar w:fldCharType="begin"/>
    </w:r>
    <w:r w:rsidRPr="00BA43EE">
      <w:rPr>
        <w:rStyle w:val="a4"/>
        <w:sz w:val="24"/>
        <w:szCs w:val="24"/>
      </w:rPr>
      <w:instrText xml:space="preserve">PAGE  </w:instrText>
    </w:r>
    <w:r w:rsidRPr="00BA43EE">
      <w:rPr>
        <w:rStyle w:val="a4"/>
        <w:sz w:val="24"/>
        <w:szCs w:val="24"/>
      </w:rPr>
      <w:fldChar w:fldCharType="separate"/>
    </w:r>
    <w:r w:rsidR="00E618C1">
      <w:rPr>
        <w:rStyle w:val="a4"/>
        <w:noProof/>
        <w:sz w:val="24"/>
        <w:szCs w:val="24"/>
      </w:rPr>
      <w:t>- 1 -</w:t>
    </w:r>
    <w:r w:rsidRPr="00BA43EE">
      <w:rPr>
        <w:rStyle w:val="a4"/>
        <w:sz w:val="24"/>
        <w:szCs w:val="24"/>
      </w:rPr>
      <w:fldChar w:fldCharType="end"/>
    </w:r>
  </w:p>
  <w:p w:rsidR="00106D04" w:rsidRDefault="004B4538" w:rsidP="006719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538" w:rsidRDefault="004B4538">
      <w:r>
        <w:separator/>
      </w:r>
    </w:p>
  </w:footnote>
  <w:footnote w:type="continuationSeparator" w:id="0">
    <w:p w:rsidR="004B4538" w:rsidRDefault="004B4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0B6E"/>
    <w:rsid w:val="0014268F"/>
    <w:rsid w:val="004B4538"/>
    <w:rsid w:val="006F28CF"/>
    <w:rsid w:val="00DC0B6E"/>
    <w:rsid w:val="00E618C1"/>
    <w:rsid w:val="00FB1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B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C0B6E"/>
    <w:pPr>
      <w:tabs>
        <w:tab w:val="center" w:pos="4153"/>
        <w:tab w:val="right" w:pos="8306"/>
      </w:tabs>
      <w:snapToGrid w:val="0"/>
      <w:jc w:val="left"/>
    </w:pPr>
    <w:rPr>
      <w:rFonts w:ascii="仿宋_GB2312" w:eastAsia="仿宋_GB2312"/>
      <w:sz w:val="18"/>
      <w:szCs w:val="18"/>
    </w:rPr>
  </w:style>
  <w:style w:type="character" w:customStyle="1" w:styleId="Char">
    <w:name w:val="页脚 Char"/>
    <w:basedOn w:val="a0"/>
    <w:link w:val="a3"/>
    <w:uiPriority w:val="99"/>
    <w:rsid w:val="00DC0B6E"/>
    <w:rPr>
      <w:rFonts w:ascii="仿宋_GB2312" w:eastAsia="仿宋_GB2312" w:hAnsi="Times New Roman" w:cs="Times New Roman"/>
      <w:sz w:val="18"/>
      <w:szCs w:val="18"/>
    </w:rPr>
  </w:style>
  <w:style w:type="character" w:styleId="a4">
    <w:name w:val="page number"/>
    <w:basedOn w:val="a0"/>
    <w:uiPriority w:val="99"/>
    <w:rsid w:val="00DC0B6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482</Words>
  <Characters>2750</Characters>
  <Application>Microsoft Office Word</Application>
  <DocSecurity>0</DocSecurity>
  <Lines>22</Lines>
  <Paragraphs>6</Paragraphs>
  <ScaleCrop>false</ScaleCrop>
  <Company>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jyt1206-wb</dc:creator>
  <cp:lastModifiedBy>陈英</cp:lastModifiedBy>
  <cp:revision>2</cp:revision>
  <dcterms:created xsi:type="dcterms:W3CDTF">2018-11-30T04:02:00Z</dcterms:created>
  <dcterms:modified xsi:type="dcterms:W3CDTF">2018-12-03T04:39:00Z</dcterms:modified>
</cp:coreProperties>
</file>